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4ADC8" w14:textId="1D18D17F" w:rsidR="00E73445" w:rsidRDefault="00E73445" w:rsidP="00E73445">
      <w:pPr>
        <w:pStyle w:val="NormalWeb"/>
        <w:jc w:val="center"/>
        <w:rPr>
          <w:rStyle w:val="Strong"/>
          <w:color w:val="2969B0"/>
          <w:sz w:val="27"/>
          <w:szCs w:val="27"/>
        </w:rPr>
      </w:pPr>
      <w:r>
        <w:rPr>
          <w:b/>
          <w:bCs/>
          <w:noProof/>
          <w:color w:val="2969B0"/>
          <w:sz w:val="27"/>
          <w:szCs w:val="27"/>
        </w:rPr>
        <w:drawing>
          <wp:inline distT="0" distB="0" distL="0" distR="0" wp14:anchorId="5C29B580" wp14:editId="3B65118B">
            <wp:extent cx="4258056" cy="1612392"/>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58056" cy="1612392"/>
                    </a:xfrm>
                    <a:prstGeom prst="rect">
                      <a:avLst/>
                    </a:prstGeom>
                  </pic:spPr>
                </pic:pic>
              </a:graphicData>
            </a:graphic>
          </wp:inline>
        </w:drawing>
      </w:r>
    </w:p>
    <w:p w14:paraId="32E6578E" w14:textId="434F942F" w:rsidR="00E73445" w:rsidRDefault="00E73445" w:rsidP="00E73445">
      <w:pPr>
        <w:pStyle w:val="NormalWeb"/>
        <w:jc w:val="center"/>
      </w:pPr>
      <w:r>
        <w:rPr>
          <w:rStyle w:val="Strong"/>
          <w:color w:val="2969B0"/>
          <w:sz w:val="27"/>
          <w:szCs w:val="27"/>
        </w:rPr>
        <w:t>September Newsletter</w:t>
      </w:r>
    </w:p>
    <w:tbl>
      <w:tblPr>
        <w:tblW w:w="5000" w:type="pct"/>
        <w:tblLook w:val="04A0" w:firstRow="1" w:lastRow="0" w:firstColumn="1" w:lastColumn="0" w:noHBand="0" w:noVBand="1"/>
      </w:tblPr>
      <w:tblGrid>
        <w:gridCol w:w="4672"/>
        <w:gridCol w:w="4672"/>
      </w:tblGrid>
      <w:tr w:rsidR="00E73445" w14:paraId="0293D002" w14:textId="77777777" w:rsidTr="00E73445">
        <w:tc>
          <w:tcPr>
            <w:tcW w:w="2500" w:type="pct"/>
            <w:tcBorders>
              <w:top w:val="single" w:sz="6" w:space="0" w:color="DDDDDD"/>
              <w:left w:val="single" w:sz="6" w:space="0" w:color="DDDDDD"/>
              <w:bottom w:val="single" w:sz="6" w:space="0" w:color="DDDDDD"/>
              <w:right w:val="single" w:sz="6" w:space="0" w:color="DDDDDD"/>
            </w:tcBorders>
            <w:shd w:val="clear" w:color="auto" w:fill="2C82C9"/>
            <w:tcMar>
              <w:top w:w="15" w:type="dxa"/>
              <w:left w:w="15" w:type="dxa"/>
              <w:bottom w:w="15" w:type="dxa"/>
              <w:right w:w="15" w:type="dxa"/>
            </w:tcMar>
          </w:tcPr>
          <w:p w14:paraId="49B9AF2A" w14:textId="77777777" w:rsidR="00E73445" w:rsidRDefault="00E73445">
            <w:pPr>
              <w:jc w:val="center"/>
              <w:rPr>
                <w:rFonts w:eastAsia="Times New Roman"/>
              </w:rPr>
            </w:pPr>
            <w:r>
              <w:rPr>
                <w:rStyle w:val="Strong"/>
                <w:rFonts w:eastAsia="Times New Roman"/>
                <w:color w:val="FFFFFF"/>
                <w:sz w:val="36"/>
                <w:szCs w:val="36"/>
                <w:u w:val="single"/>
              </w:rPr>
              <w:t>ln This Issue</w:t>
            </w:r>
          </w:p>
          <w:p w14:paraId="7381AA28" w14:textId="77777777" w:rsidR="00E73445" w:rsidRDefault="00E73445">
            <w:pPr>
              <w:pStyle w:val="NormalWeb"/>
            </w:pPr>
          </w:p>
          <w:p w14:paraId="5069C0CF" w14:textId="77777777" w:rsidR="00E73445" w:rsidRDefault="00E73445">
            <w:pPr>
              <w:pStyle w:val="NormalWeb"/>
            </w:pPr>
            <w:r>
              <w:rPr>
                <w:rStyle w:val="Strong"/>
                <w:color w:val="FFFFFF"/>
              </w:rPr>
              <w:t>Announcements</w:t>
            </w:r>
          </w:p>
          <w:p w14:paraId="04169DD8" w14:textId="77777777" w:rsidR="00E73445" w:rsidRDefault="00E73445">
            <w:pPr>
              <w:pStyle w:val="NormalWeb"/>
            </w:pPr>
            <w:r>
              <w:rPr>
                <w:rStyle w:val="Strong"/>
                <w:color w:val="FFFFFF"/>
              </w:rPr>
              <w:t>     Golf Tournament - it's still on!</w:t>
            </w:r>
          </w:p>
          <w:p w14:paraId="72B2165F" w14:textId="77777777" w:rsidR="00E73445" w:rsidRDefault="00E73445">
            <w:pPr>
              <w:pStyle w:val="NormalWeb"/>
            </w:pPr>
            <w:r>
              <w:rPr>
                <w:rStyle w:val="Strong"/>
                <w:color w:val="FFFFFF"/>
              </w:rPr>
              <w:t>     2021 Convention News</w:t>
            </w:r>
          </w:p>
          <w:p w14:paraId="35112F7A" w14:textId="77777777" w:rsidR="00E73445" w:rsidRDefault="00E73445">
            <w:pPr>
              <w:pStyle w:val="NormalWeb"/>
            </w:pPr>
          </w:p>
          <w:p w14:paraId="6F5723A0" w14:textId="77777777" w:rsidR="00E73445" w:rsidRDefault="00E73445">
            <w:pPr>
              <w:pStyle w:val="NormalWeb"/>
            </w:pPr>
            <w:r>
              <w:rPr>
                <w:rStyle w:val="Strong"/>
                <w:color w:val="FFFFFF"/>
              </w:rPr>
              <w:t>UIA Revenue Sharing - Bigger than Ever</w:t>
            </w:r>
          </w:p>
          <w:p w14:paraId="7CFE95D3" w14:textId="77777777" w:rsidR="00E73445" w:rsidRDefault="00E73445">
            <w:pPr>
              <w:pStyle w:val="NormalWeb"/>
            </w:pPr>
            <w:r>
              <w:rPr>
                <w:rStyle w:val="Strong"/>
                <w:color w:val="FFFFFF"/>
              </w:rPr>
              <w:t>     Workers Compensation Program</w:t>
            </w:r>
          </w:p>
          <w:p w14:paraId="4DC6C4A6" w14:textId="77777777" w:rsidR="00E73445" w:rsidRDefault="00E73445">
            <w:pPr>
              <w:pStyle w:val="NormalWeb"/>
            </w:pPr>
            <w:r>
              <w:rPr>
                <w:rStyle w:val="Strong"/>
                <w:color w:val="FFFFFF"/>
              </w:rPr>
              <w:t>     Cannabis Program</w:t>
            </w:r>
          </w:p>
          <w:p w14:paraId="5D72FE07" w14:textId="77777777" w:rsidR="00E73445" w:rsidRDefault="00E73445">
            <w:pPr>
              <w:pStyle w:val="NormalWeb"/>
            </w:pPr>
          </w:p>
          <w:p w14:paraId="1F8837B3" w14:textId="77777777" w:rsidR="00E73445" w:rsidRDefault="00E73445">
            <w:pPr>
              <w:pStyle w:val="NormalWeb"/>
            </w:pPr>
            <w:r>
              <w:rPr>
                <w:rStyle w:val="Strong"/>
                <w:color w:val="FFFFFF"/>
              </w:rPr>
              <w:t>Group Health Insurance</w:t>
            </w:r>
          </w:p>
          <w:p w14:paraId="47CD89BF" w14:textId="77777777" w:rsidR="00E73445" w:rsidRDefault="00E73445">
            <w:pPr>
              <w:pStyle w:val="NormalWeb"/>
            </w:pPr>
          </w:p>
          <w:p w14:paraId="332A354F" w14:textId="77777777" w:rsidR="00E73445" w:rsidRDefault="00E73445">
            <w:pPr>
              <w:pStyle w:val="NormalWeb"/>
            </w:pPr>
            <w:r>
              <w:rPr>
                <w:rStyle w:val="Strong"/>
                <w:color w:val="FFFFFF"/>
              </w:rPr>
              <w:t>HCIT - Flood and Earthquake Program</w:t>
            </w:r>
          </w:p>
          <w:p w14:paraId="754BF821" w14:textId="77777777" w:rsidR="00E73445" w:rsidRDefault="00E73445">
            <w:pPr>
              <w:pStyle w:val="NormalWeb"/>
            </w:pPr>
          </w:p>
          <w:p w14:paraId="7E7B016C" w14:textId="77777777" w:rsidR="00E73445" w:rsidRDefault="00E73445">
            <w:pPr>
              <w:pStyle w:val="NormalWeb"/>
            </w:pPr>
            <w:r>
              <w:rPr>
                <w:rStyle w:val="Strong"/>
                <w:color w:val="FFFFFF"/>
              </w:rPr>
              <w:t>PIA - How to Access Membership Advantages</w:t>
            </w:r>
          </w:p>
          <w:p w14:paraId="4FF27AC1" w14:textId="77777777" w:rsidR="00E73445" w:rsidRDefault="00E73445">
            <w:pPr>
              <w:pStyle w:val="NormalWeb"/>
            </w:pPr>
            <w:r>
              <w:rPr>
                <w:rStyle w:val="Strong"/>
                <w:color w:val="FFFFFF"/>
              </w:rPr>
              <w:t>     Webinar </w:t>
            </w:r>
          </w:p>
          <w:p w14:paraId="245C14F5" w14:textId="77777777" w:rsidR="00E73445" w:rsidRDefault="00E73445">
            <w:pPr>
              <w:pStyle w:val="NormalWeb"/>
            </w:pPr>
          </w:p>
          <w:p w14:paraId="7B9CC27B" w14:textId="77777777" w:rsidR="00E73445" w:rsidRDefault="00E73445">
            <w:pPr>
              <w:pStyle w:val="NormalWeb"/>
            </w:pPr>
            <w:r>
              <w:rPr>
                <w:rStyle w:val="Strong"/>
                <w:color w:val="FFFFFF"/>
              </w:rPr>
              <w:t>Insurance Carrier News</w:t>
            </w:r>
          </w:p>
        </w:tc>
        <w:tc>
          <w:tcPr>
            <w:tcW w:w="2500" w:type="pct"/>
            <w:tcBorders>
              <w:top w:val="single" w:sz="6" w:space="0" w:color="DDDDDD"/>
              <w:left w:val="single" w:sz="6" w:space="0" w:color="DDDDDD"/>
              <w:bottom w:val="single" w:sz="6" w:space="0" w:color="DDDDDD"/>
              <w:right w:val="single" w:sz="6" w:space="0" w:color="DDDDDD"/>
            </w:tcBorders>
            <w:tcMar>
              <w:top w:w="15" w:type="dxa"/>
              <w:left w:w="15" w:type="dxa"/>
              <w:bottom w:w="15" w:type="dxa"/>
              <w:right w:w="15" w:type="dxa"/>
            </w:tcMar>
          </w:tcPr>
          <w:p w14:paraId="47DDF3D3" w14:textId="77777777" w:rsidR="00E73445" w:rsidRDefault="00E73445">
            <w:pPr>
              <w:jc w:val="center"/>
              <w:rPr>
                <w:rFonts w:eastAsia="Times New Roman"/>
              </w:rPr>
            </w:pPr>
            <w:r>
              <w:rPr>
                <w:rStyle w:val="Strong"/>
                <w:rFonts w:eastAsia="Times New Roman"/>
                <w:color w:val="B8312F"/>
                <w:sz w:val="36"/>
                <w:szCs w:val="36"/>
              </w:rPr>
              <w:lastRenderedPageBreak/>
              <w:t>Announcements</w:t>
            </w:r>
          </w:p>
          <w:p w14:paraId="28DFCB55" w14:textId="77777777" w:rsidR="00E73445" w:rsidRDefault="00E73445">
            <w:pPr>
              <w:pStyle w:val="NormalWeb"/>
              <w:jc w:val="center"/>
            </w:pPr>
          </w:p>
          <w:p w14:paraId="2C884203" w14:textId="77777777" w:rsidR="00E73445" w:rsidRDefault="00E73445">
            <w:pPr>
              <w:pStyle w:val="NormalWeb"/>
              <w:jc w:val="center"/>
            </w:pPr>
            <w:r>
              <w:rPr>
                <w:rStyle w:val="Strong"/>
                <w:u w:val="single"/>
              </w:rPr>
              <w:t>Golf Tournament</w:t>
            </w:r>
          </w:p>
          <w:p w14:paraId="02594788" w14:textId="77777777" w:rsidR="00E73445" w:rsidRDefault="00E73445">
            <w:pPr>
              <w:pStyle w:val="NormalWeb"/>
            </w:pPr>
            <w:r>
              <w:t xml:space="preserve">Register Today - </w:t>
            </w:r>
            <w:hyperlink r:id="rId6" w:history="1">
              <w:r>
                <w:rPr>
                  <w:rStyle w:val="Hyperlink"/>
                </w:rPr>
                <w:t>Click Here</w:t>
              </w:r>
            </w:hyperlink>
          </w:p>
          <w:p w14:paraId="3619E919" w14:textId="77777777" w:rsidR="00E73445" w:rsidRDefault="00E73445">
            <w:pPr>
              <w:pStyle w:val="NormalWeb"/>
            </w:pPr>
            <w:r>
              <w:t>Friday, September 24 @ South Mountain Golf Course</w:t>
            </w:r>
          </w:p>
          <w:p w14:paraId="1B1042DF" w14:textId="77777777" w:rsidR="00E73445" w:rsidRDefault="00E73445">
            <w:pPr>
              <w:pStyle w:val="NormalWeb"/>
            </w:pPr>
            <w:r>
              <w:t>8 a.m. Shotgun Start</w:t>
            </w:r>
          </w:p>
          <w:p w14:paraId="59E226DF" w14:textId="77777777" w:rsidR="00E73445" w:rsidRDefault="00E73445">
            <w:pPr>
              <w:pStyle w:val="NormalWeb"/>
              <w:jc w:val="center"/>
            </w:pPr>
            <w:r>
              <w:t>Registration Includes Lunch</w:t>
            </w:r>
          </w:p>
          <w:p w14:paraId="53FA2C40" w14:textId="77777777" w:rsidR="00E73445" w:rsidRDefault="00E73445">
            <w:pPr>
              <w:pStyle w:val="NormalWeb"/>
              <w:jc w:val="center"/>
            </w:pPr>
          </w:p>
          <w:p w14:paraId="3F807B07" w14:textId="77777777" w:rsidR="00E73445" w:rsidRDefault="00E73445">
            <w:pPr>
              <w:pStyle w:val="NormalWeb"/>
              <w:jc w:val="center"/>
            </w:pPr>
            <w:r>
              <w:rPr>
                <w:rStyle w:val="Strong"/>
                <w:u w:val="single"/>
              </w:rPr>
              <w:t>Convention Announcement</w:t>
            </w:r>
          </w:p>
          <w:p w14:paraId="3EFC84F9" w14:textId="77777777" w:rsidR="00E73445" w:rsidRDefault="00E73445">
            <w:pPr>
              <w:pStyle w:val="NormalWeb"/>
            </w:pPr>
            <w:r>
              <w:t>Due to increased COVID risks, and the resulting carrier travel restrictions, our convention and tradeshow has been postponed until February 2022.</w:t>
            </w:r>
          </w:p>
          <w:p w14:paraId="78861E98" w14:textId="77777777" w:rsidR="00E73445" w:rsidRDefault="00E73445">
            <w:pPr>
              <w:pStyle w:val="NormalWeb"/>
            </w:pPr>
            <w:r>
              <w:t>All registrations have been preserved, and will transfer to the new date.  Any hotel reservations must be altered by the individual traveler.  </w:t>
            </w:r>
          </w:p>
          <w:p w14:paraId="4C509AC3" w14:textId="77777777" w:rsidR="00E73445" w:rsidRDefault="00E73445">
            <w:pPr>
              <w:pStyle w:val="NormalWeb"/>
            </w:pPr>
            <w:r>
              <w:t>Register now to attend in February:</w:t>
            </w:r>
          </w:p>
          <w:p w14:paraId="4B4E1A42" w14:textId="77777777" w:rsidR="00E73445" w:rsidRDefault="00E73445">
            <w:pPr>
              <w:pStyle w:val="NormalWeb"/>
            </w:pPr>
            <w:r>
              <w:t>Agent Registration:  </w:t>
            </w:r>
            <w:hyperlink r:id="rId7" w:history="1">
              <w:r>
                <w:rPr>
                  <w:rStyle w:val="Hyperlink"/>
                </w:rPr>
                <w:t>Click Here</w:t>
              </w:r>
            </w:hyperlink>
          </w:p>
          <w:p w14:paraId="0E5233A4" w14:textId="77777777" w:rsidR="00E73445" w:rsidRDefault="00E73445">
            <w:pPr>
              <w:pStyle w:val="NormalWeb"/>
            </w:pPr>
            <w:r>
              <w:t xml:space="preserve">Carrier / Vendor Registration: </w:t>
            </w:r>
            <w:hyperlink r:id="rId8" w:history="1">
              <w:r>
                <w:rPr>
                  <w:rStyle w:val="Hyperlink"/>
                </w:rPr>
                <w:t> Click Here</w:t>
              </w:r>
            </w:hyperlink>
            <w:r>
              <w:t> </w:t>
            </w:r>
          </w:p>
        </w:tc>
      </w:tr>
    </w:tbl>
    <w:p w14:paraId="7B9F7D64" w14:textId="77777777" w:rsidR="00E73445" w:rsidRDefault="00E73445" w:rsidP="00E73445">
      <w:pPr>
        <w:pStyle w:val="NormalWeb"/>
      </w:pPr>
    </w:p>
    <w:p w14:paraId="309A6D07" w14:textId="77777777" w:rsidR="00E73445" w:rsidRDefault="00E73445" w:rsidP="00E73445">
      <w:pPr>
        <w:pStyle w:val="NormalWeb"/>
        <w:jc w:val="center"/>
      </w:pPr>
      <w:r>
        <w:rPr>
          <w:rStyle w:val="Strong"/>
          <w:color w:val="2969B0"/>
          <w:sz w:val="27"/>
          <w:szCs w:val="27"/>
        </w:rPr>
        <w:t>UIA Revenue Sharing Programs</w:t>
      </w:r>
    </w:p>
    <w:p w14:paraId="2F556E26" w14:textId="77777777" w:rsidR="00E73445" w:rsidRDefault="00E73445" w:rsidP="00E73445">
      <w:pPr>
        <w:pStyle w:val="NormalWeb"/>
      </w:pPr>
      <w:r>
        <w:rPr>
          <w:color w:val="000000"/>
          <w:sz w:val="21"/>
          <w:szCs w:val="21"/>
        </w:rPr>
        <w:t>To date, UIA has shared over</w:t>
      </w:r>
      <w:r>
        <w:rPr>
          <w:color w:val="B8312F"/>
          <w:sz w:val="21"/>
          <w:szCs w:val="21"/>
        </w:rPr>
        <w:t> $100,000</w:t>
      </w:r>
      <w:r>
        <w:rPr>
          <w:color w:val="000000"/>
          <w:sz w:val="21"/>
          <w:szCs w:val="21"/>
        </w:rPr>
        <w:t> in revenue with our member agencies.  There is a simple way to take advantage of this program, and earn revenue as part of your UIA membership.  Don't miss out on this incredible member benefit.  </w:t>
      </w:r>
    </w:p>
    <w:p w14:paraId="7B6F8204" w14:textId="77777777" w:rsidR="00E73445" w:rsidRDefault="00E73445" w:rsidP="00E73445">
      <w:pPr>
        <w:pStyle w:val="NormalWeb"/>
      </w:pPr>
      <w:r>
        <w:rPr>
          <w:rStyle w:val="Strong"/>
          <w:color w:val="2969B0"/>
          <w:sz w:val="21"/>
          <w:szCs w:val="21"/>
        </w:rPr>
        <w:t>Workers Compensation Program</w:t>
      </w:r>
    </w:p>
    <w:p w14:paraId="7FDBC7F7" w14:textId="77777777" w:rsidR="00E73445" w:rsidRDefault="00E73445" w:rsidP="00E73445">
      <w:pPr>
        <w:pStyle w:val="NormalWeb"/>
      </w:pPr>
      <w:r>
        <w:rPr>
          <w:sz w:val="21"/>
          <w:szCs w:val="21"/>
        </w:rPr>
        <w:t>UIA has access to 7 different markets to help you secure workers compensation coverage for your clients.  Secure your client's entire commercial portfolio with a provider that will not sell or cross-sell your client.  </w:t>
      </w:r>
    </w:p>
    <w:p w14:paraId="2D9339F4" w14:textId="77777777" w:rsidR="00E73445" w:rsidRDefault="00E73445" w:rsidP="00E73445">
      <w:pPr>
        <w:pStyle w:val="NormalWeb"/>
        <w:jc w:val="center"/>
      </w:pPr>
      <w:r>
        <w:rPr>
          <w:rStyle w:val="Strong"/>
          <w:color w:val="B8312F"/>
          <w:sz w:val="21"/>
          <w:szCs w:val="21"/>
        </w:rPr>
        <w:t>WCF     BBSI     Am Trust     Markel     CNA     PIE     Western Pacific</w:t>
      </w:r>
      <w:r>
        <w:rPr>
          <w:sz w:val="21"/>
          <w:szCs w:val="21"/>
        </w:rPr>
        <w:t> </w:t>
      </w:r>
    </w:p>
    <w:p w14:paraId="04231CC9" w14:textId="77777777" w:rsidR="00E73445" w:rsidRDefault="00E73445" w:rsidP="00E73445">
      <w:pPr>
        <w:pStyle w:val="NormalWeb"/>
      </w:pPr>
      <w:r>
        <w:rPr>
          <w:sz w:val="21"/>
          <w:szCs w:val="21"/>
        </w:rPr>
        <w:t>Step 1: Simply e-mail UIA ACORD 130 Workers Compensation Application, along with any other supporting documents.</w:t>
      </w:r>
    </w:p>
    <w:p w14:paraId="52140803" w14:textId="77777777" w:rsidR="00E73445" w:rsidRDefault="00E73445" w:rsidP="00E73445">
      <w:pPr>
        <w:pStyle w:val="NormalWeb"/>
      </w:pPr>
      <w:r>
        <w:rPr>
          <w:sz w:val="21"/>
          <w:szCs w:val="21"/>
        </w:rPr>
        <w:t>Step 2:  We market the risk and secure a quote for you.</w:t>
      </w:r>
    </w:p>
    <w:p w14:paraId="65842F62" w14:textId="77777777" w:rsidR="00E73445" w:rsidRDefault="00E73445" w:rsidP="00E73445">
      <w:pPr>
        <w:pStyle w:val="NormalWeb"/>
      </w:pPr>
      <w:r>
        <w:rPr>
          <w:sz w:val="21"/>
          <w:szCs w:val="21"/>
        </w:rPr>
        <w:t>Step 3:  We send you the formal proposal to present to your client.</w:t>
      </w:r>
    </w:p>
    <w:p w14:paraId="1B1AA9B5" w14:textId="77777777" w:rsidR="00E73445" w:rsidRDefault="00E73445" w:rsidP="00E73445">
      <w:pPr>
        <w:pStyle w:val="NormalWeb"/>
      </w:pPr>
      <w:r>
        <w:rPr>
          <w:sz w:val="21"/>
          <w:szCs w:val="21"/>
        </w:rPr>
        <w:t>Step 4:  E-mail us a request to bind coverage, send the required documents, a we finish the rest.  </w:t>
      </w:r>
    </w:p>
    <w:p w14:paraId="68ED35D4" w14:textId="77777777" w:rsidR="00E73445" w:rsidRDefault="00E73445" w:rsidP="00E73445">
      <w:pPr>
        <w:pStyle w:val="NormalWeb"/>
      </w:pPr>
      <w:r>
        <w:rPr>
          <w:sz w:val="21"/>
          <w:szCs w:val="21"/>
        </w:rPr>
        <w:t>Step 5:  Get Paid.  UIA distributes revenue sharing checks within 30 days of being paid by the carrier.  </w:t>
      </w:r>
    </w:p>
    <w:p w14:paraId="6F37053E" w14:textId="77777777" w:rsidR="00E73445" w:rsidRDefault="00E73445" w:rsidP="00E73445">
      <w:pPr>
        <w:pStyle w:val="NormalWeb"/>
      </w:pPr>
      <w:r>
        <w:rPr>
          <w:rStyle w:val="Strong"/>
          <w:color w:val="2969B0"/>
          <w:sz w:val="21"/>
          <w:szCs w:val="21"/>
        </w:rPr>
        <w:t>Cannabis Program</w:t>
      </w:r>
    </w:p>
    <w:p w14:paraId="2CD105B3" w14:textId="77777777" w:rsidR="00E73445" w:rsidRDefault="00E73445" w:rsidP="00E73445">
      <w:pPr>
        <w:pStyle w:val="NormalWeb"/>
      </w:pPr>
      <w:r>
        <w:rPr>
          <w:sz w:val="21"/>
          <w:szCs w:val="21"/>
        </w:rPr>
        <w:t xml:space="preserve">UIA has key partnerships with carriers that can cover all aspects of your cannabis </w:t>
      </w:r>
      <w:proofErr w:type="gramStart"/>
      <w:r>
        <w:rPr>
          <w:sz w:val="21"/>
          <w:szCs w:val="21"/>
        </w:rPr>
        <w:t>clients</w:t>
      </w:r>
      <w:proofErr w:type="gramEnd"/>
      <w:r>
        <w:rPr>
          <w:sz w:val="21"/>
          <w:szCs w:val="21"/>
        </w:rPr>
        <w:t xml:space="preserve"> operation anywhere in the United States. Contact our office for any coverage you may need.  </w:t>
      </w:r>
    </w:p>
    <w:p w14:paraId="69D46656" w14:textId="77777777" w:rsidR="00E73445" w:rsidRDefault="00E73445" w:rsidP="00E73445">
      <w:pPr>
        <w:pStyle w:val="NormalWeb"/>
        <w:jc w:val="center"/>
      </w:pPr>
      <w:r>
        <w:rPr>
          <w:sz w:val="21"/>
          <w:szCs w:val="21"/>
        </w:rPr>
        <w:t>Growing / Farming - Including Crop     Product During Refinement     All Liability     Product Completed Operations     Transportation     Security     Retail Operations     Money &amp; Securities     All Property</w:t>
      </w:r>
    </w:p>
    <w:p w14:paraId="1466E7EE" w14:textId="77777777" w:rsidR="00E73445" w:rsidRDefault="00E73445" w:rsidP="00E73445">
      <w:pPr>
        <w:pStyle w:val="NormalWeb"/>
      </w:pPr>
      <w:r>
        <w:rPr>
          <w:rStyle w:val="Strong"/>
          <w:color w:val="2969B0"/>
          <w:sz w:val="21"/>
          <w:szCs w:val="21"/>
        </w:rPr>
        <w:t>Group Health Insurance Program</w:t>
      </w:r>
    </w:p>
    <w:p w14:paraId="4ADC6483" w14:textId="77777777" w:rsidR="00E73445" w:rsidRDefault="00E73445" w:rsidP="00E73445">
      <w:pPr>
        <w:pStyle w:val="NormalWeb"/>
      </w:pPr>
      <w:r>
        <w:rPr>
          <w:sz w:val="21"/>
          <w:szCs w:val="21"/>
        </w:rPr>
        <w:t>UIA has partnered with EMI to provide competitive group health insurance options for our members.  </w:t>
      </w:r>
      <w:hyperlink r:id="rId9" w:history="1">
        <w:r>
          <w:rPr>
            <w:rStyle w:val="Hyperlink"/>
            <w:sz w:val="21"/>
            <w:szCs w:val="21"/>
          </w:rPr>
          <w:t>Click Here</w:t>
        </w:r>
      </w:hyperlink>
      <w:r>
        <w:t xml:space="preserve"> for more information, and to complete the application process.  Please contact UIA if you have any questions.</w:t>
      </w:r>
    </w:p>
    <w:p w14:paraId="0408C145" w14:textId="77777777" w:rsidR="00E73445" w:rsidRDefault="00E73445" w:rsidP="00E73445">
      <w:pPr>
        <w:pStyle w:val="NormalWeb"/>
      </w:pPr>
      <w:r>
        <w:rPr>
          <w:rStyle w:val="Strong"/>
          <w:color w:val="2969B0"/>
          <w:sz w:val="21"/>
          <w:szCs w:val="21"/>
        </w:rPr>
        <w:t>Dental Insurance Program</w:t>
      </w:r>
    </w:p>
    <w:p w14:paraId="5EEB3913" w14:textId="77777777" w:rsidR="00E73445" w:rsidRDefault="00E73445" w:rsidP="00E73445">
      <w:pPr>
        <w:pStyle w:val="NormalWeb"/>
      </w:pPr>
      <w:r>
        <w:rPr>
          <w:sz w:val="21"/>
          <w:szCs w:val="21"/>
        </w:rPr>
        <w:lastRenderedPageBreak/>
        <w:t>UIA has partnered with MetLife to offer a comprehensive dental program to our members, and their families.  Programs can include orthodontic coverage as well. </w:t>
      </w:r>
      <w:hyperlink r:id="rId10" w:history="1">
        <w:r>
          <w:rPr>
            <w:rStyle w:val="Hyperlink"/>
            <w:sz w:val="21"/>
            <w:szCs w:val="21"/>
          </w:rPr>
          <w:t> Click Here</w:t>
        </w:r>
      </w:hyperlink>
      <w:r>
        <w:rPr>
          <w:sz w:val="21"/>
          <w:szCs w:val="21"/>
        </w:rPr>
        <w:t> to get a quote and secure your policy today.   </w:t>
      </w:r>
    </w:p>
    <w:p w14:paraId="00F972E9" w14:textId="77777777" w:rsidR="00E73445" w:rsidRDefault="00E73445" w:rsidP="00E73445">
      <w:pPr>
        <w:pStyle w:val="Heading2"/>
        <w:spacing w:before="0" w:beforeAutospacing="0" w:after="0" w:afterAutospacing="0"/>
        <w:rPr>
          <w:rFonts w:eastAsia="Times New Roman"/>
        </w:rPr>
      </w:pPr>
      <w:r>
        <w:rPr>
          <w:rFonts w:eastAsia="Times New Roman"/>
          <w:color w:val="2969B0"/>
          <w:sz w:val="21"/>
          <w:szCs w:val="21"/>
        </w:rPr>
        <w:t>HCIT: How It's Different</w:t>
      </w:r>
    </w:p>
    <w:p w14:paraId="7CBA026C" w14:textId="77777777" w:rsidR="00E73445" w:rsidRDefault="00E73445" w:rsidP="00E73445">
      <w:pPr>
        <w:pStyle w:val="NormalWeb"/>
      </w:pPr>
      <w:r>
        <w:rPr>
          <w:sz w:val="21"/>
          <w:szCs w:val="21"/>
        </w:rPr>
        <w:t>The HCIT program is insured 100% by underwriters at Lloyd's of London. No quoting is necessary! The premium table is located on the front of the application. It includes all applicable policy and state surplus lines tax and fees, and the premium cost is located directly to the right of the replacement cost of the dwelling.</w:t>
      </w:r>
    </w:p>
    <w:p w14:paraId="06FBE8C4" w14:textId="77777777" w:rsidR="00E73445" w:rsidRDefault="00E73445" w:rsidP="00E73445">
      <w:pPr>
        <w:pStyle w:val="NormalWeb"/>
      </w:pPr>
      <w:r>
        <w:rPr>
          <w:rStyle w:val="Strong"/>
          <w:sz w:val="21"/>
          <w:szCs w:val="21"/>
        </w:rPr>
        <w:t>What sets us apart:</w:t>
      </w:r>
    </w:p>
    <w:p w14:paraId="091D6C11" w14:textId="77777777" w:rsidR="00E73445" w:rsidRDefault="00E73445" w:rsidP="00E73445">
      <w:pPr>
        <w:numPr>
          <w:ilvl w:val="0"/>
          <w:numId w:val="1"/>
        </w:numPr>
        <w:spacing w:before="100" w:beforeAutospacing="1" w:after="100" w:afterAutospacing="1"/>
        <w:rPr>
          <w:rFonts w:eastAsia="Times New Roman"/>
          <w:color w:val="000000"/>
          <w:sz w:val="21"/>
          <w:szCs w:val="21"/>
        </w:rPr>
      </w:pPr>
      <w:r>
        <w:rPr>
          <w:rStyle w:val="Strong"/>
          <w:rFonts w:eastAsia="Times New Roman"/>
          <w:color w:val="000000"/>
          <w:sz w:val="21"/>
          <w:szCs w:val="21"/>
        </w:rPr>
        <w:t>Offer up to 2 million in coverage</w:t>
      </w:r>
    </w:p>
    <w:p w14:paraId="48C778E1" w14:textId="77777777" w:rsidR="00E73445" w:rsidRDefault="00E73445" w:rsidP="00E73445">
      <w:pPr>
        <w:numPr>
          <w:ilvl w:val="0"/>
          <w:numId w:val="1"/>
        </w:numPr>
        <w:spacing w:before="100" w:beforeAutospacing="1" w:after="100" w:afterAutospacing="1"/>
        <w:rPr>
          <w:rFonts w:eastAsia="Times New Roman"/>
          <w:color w:val="0E101A"/>
          <w:sz w:val="21"/>
          <w:szCs w:val="21"/>
        </w:rPr>
      </w:pPr>
      <w:r>
        <w:rPr>
          <w:rStyle w:val="Strong"/>
          <w:rFonts w:eastAsia="Times New Roman"/>
          <w:color w:val="0E101A"/>
          <w:sz w:val="21"/>
          <w:szCs w:val="21"/>
        </w:rPr>
        <w:t>No elevation certificates or flood CE required</w:t>
      </w:r>
    </w:p>
    <w:p w14:paraId="27752C20" w14:textId="77777777" w:rsidR="00E73445" w:rsidRDefault="00E73445" w:rsidP="00E73445">
      <w:pPr>
        <w:numPr>
          <w:ilvl w:val="0"/>
          <w:numId w:val="1"/>
        </w:numPr>
        <w:spacing w:before="100" w:beforeAutospacing="1" w:after="100" w:afterAutospacing="1"/>
        <w:rPr>
          <w:rFonts w:eastAsia="Times New Roman"/>
          <w:color w:val="0E101A"/>
          <w:sz w:val="21"/>
          <w:szCs w:val="21"/>
        </w:rPr>
      </w:pPr>
      <w:r>
        <w:rPr>
          <w:rStyle w:val="Strong"/>
          <w:rFonts w:eastAsia="Times New Roman"/>
          <w:color w:val="0E101A"/>
          <w:sz w:val="21"/>
          <w:szCs w:val="21"/>
        </w:rPr>
        <w:t>Options for 5% and 1% deductible (1% is if the mortgagee requested it)</w:t>
      </w:r>
    </w:p>
    <w:p w14:paraId="552AA00A" w14:textId="77777777" w:rsidR="00E73445" w:rsidRDefault="00E73445" w:rsidP="00E73445">
      <w:pPr>
        <w:numPr>
          <w:ilvl w:val="0"/>
          <w:numId w:val="1"/>
        </w:numPr>
        <w:spacing w:before="100" w:beforeAutospacing="1" w:after="100" w:afterAutospacing="1"/>
        <w:rPr>
          <w:rFonts w:eastAsia="Times New Roman"/>
          <w:color w:val="0E101A"/>
          <w:sz w:val="21"/>
          <w:szCs w:val="21"/>
        </w:rPr>
      </w:pPr>
      <w:r>
        <w:rPr>
          <w:rStyle w:val="Strong"/>
          <w:rFonts w:eastAsia="Times New Roman"/>
          <w:color w:val="0E101A"/>
          <w:sz w:val="21"/>
          <w:szCs w:val="21"/>
        </w:rPr>
        <w:t>The ten-day waiting period that can be shortened to five days</w:t>
      </w:r>
    </w:p>
    <w:p w14:paraId="5F4A865C" w14:textId="77777777" w:rsidR="00E73445" w:rsidRDefault="00E73445" w:rsidP="00E73445">
      <w:pPr>
        <w:numPr>
          <w:ilvl w:val="0"/>
          <w:numId w:val="1"/>
        </w:numPr>
        <w:spacing w:before="100" w:beforeAutospacing="1" w:after="100" w:afterAutospacing="1"/>
        <w:rPr>
          <w:rFonts w:eastAsia="Times New Roman"/>
          <w:color w:val="0E101A"/>
          <w:sz w:val="21"/>
          <w:szCs w:val="21"/>
        </w:rPr>
      </w:pPr>
      <w:r>
        <w:rPr>
          <w:rStyle w:val="Strong"/>
          <w:rFonts w:eastAsia="Times New Roman"/>
          <w:color w:val="0E101A"/>
          <w:sz w:val="21"/>
          <w:szCs w:val="21"/>
        </w:rPr>
        <w:t>Included Perils: loss of use, other structures, and basements</w:t>
      </w:r>
    </w:p>
    <w:p w14:paraId="49115262" w14:textId="77777777" w:rsidR="00E73445" w:rsidRDefault="00E73445" w:rsidP="00E73445">
      <w:pPr>
        <w:numPr>
          <w:ilvl w:val="0"/>
          <w:numId w:val="1"/>
        </w:numPr>
        <w:spacing w:before="100" w:beforeAutospacing="1" w:after="100" w:afterAutospacing="1"/>
        <w:rPr>
          <w:rFonts w:eastAsia="Times New Roman"/>
          <w:color w:val="0E101A"/>
          <w:sz w:val="21"/>
          <w:szCs w:val="21"/>
        </w:rPr>
      </w:pPr>
      <w:r>
        <w:rPr>
          <w:rStyle w:val="Strong"/>
          <w:rFonts w:eastAsia="Times New Roman"/>
          <w:color w:val="0E101A"/>
          <w:sz w:val="21"/>
          <w:szCs w:val="21"/>
        </w:rPr>
        <w:t>The policy automatically renews</w:t>
      </w:r>
    </w:p>
    <w:p w14:paraId="38926713" w14:textId="77777777" w:rsidR="00E73445" w:rsidRDefault="00E73445" w:rsidP="00E73445">
      <w:pPr>
        <w:pStyle w:val="NormalWeb"/>
        <w:shd w:val="clear" w:color="auto" w:fill="FFFFFF"/>
        <w:ind w:left="720"/>
      </w:pPr>
      <w:r>
        <w:rPr>
          <w:rStyle w:val="Strong"/>
          <w:sz w:val="21"/>
          <w:szCs w:val="21"/>
        </w:rPr>
        <w:t xml:space="preserve">If you think it's too good to be true, take it from Amanda Mayhill, at Goetz </w:t>
      </w:r>
      <w:proofErr w:type="spellStart"/>
      <w:r>
        <w:rPr>
          <w:rStyle w:val="Strong"/>
          <w:sz w:val="21"/>
          <w:szCs w:val="21"/>
        </w:rPr>
        <w:t>Insurors</w:t>
      </w:r>
      <w:proofErr w:type="spellEnd"/>
      <w:r>
        <w:rPr>
          <w:rStyle w:val="Strong"/>
          <w:sz w:val="21"/>
          <w:szCs w:val="21"/>
        </w:rPr>
        <w:t xml:space="preserve"> /CIA-Leavitt Insurance Agency. She says, </w:t>
      </w:r>
    </w:p>
    <w:p w14:paraId="638905D6" w14:textId="77777777" w:rsidR="00E73445" w:rsidRDefault="00E73445" w:rsidP="00E73445">
      <w:pPr>
        <w:pStyle w:val="NormalWeb"/>
        <w:shd w:val="clear" w:color="auto" w:fill="FFFFFF"/>
        <w:ind w:left="720"/>
      </w:pPr>
      <w:r>
        <w:rPr>
          <w:rStyle w:val="Strong"/>
          <w:sz w:val="21"/>
          <w:szCs w:val="21"/>
        </w:rPr>
        <w:t> </w:t>
      </w:r>
      <w:r>
        <w:rPr>
          <w:sz w:val="21"/>
          <w:szCs w:val="21"/>
        </w:rPr>
        <w:t>HCIT's product stands out from other options definitely because of pricing and availability. In our agency, we don't have many other options besides HCIT, and the options we do have are VERY expensive.</w:t>
      </w:r>
    </w:p>
    <w:p w14:paraId="1AB1DCF4" w14:textId="77777777" w:rsidR="00E73445" w:rsidRDefault="00E73445" w:rsidP="00E73445">
      <w:pPr>
        <w:pStyle w:val="NormalWeb"/>
        <w:ind w:left="720"/>
      </w:pPr>
      <w:r>
        <w:rPr>
          <w:sz w:val="21"/>
          <w:szCs w:val="21"/>
        </w:rPr>
        <w:t xml:space="preserve">I also love the application process. I've never run into any issues with the binding or had any issue processing. Quick and easy how we prefer! </w:t>
      </w:r>
      <w:r>
        <w:rPr>
          <w:rFonts w:ascii="Segoe UI Emoji" w:hAnsi="Segoe UI Emoji" w:cs="Segoe UI Emoji"/>
          <w:sz w:val="21"/>
          <w:szCs w:val="21"/>
        </w:rPr>
        <w:t>😊</w:t>
      </w:r>
    </w:p>
    <w:p w14:paraId="347639EF" w14:textId="77777777" w:rsidR="00E73445" w:rsidRDefault="00E73445" w:rsidP="00E73445">
      <w:pPr>
        <w:pStyle w:val="NormalWeb"/>
        <w:ind w:left="720"/>
      </w:pPr>
      <w:r>
        <w:rPr>
          <w:sz w:val="21"/>
          <w:szCs w:val="21"/>
        </w:rPr>
        <w:t>Our HCIT representative is always very helpful and prompt when we need assistance. We don't have many options for flood coverage in our agency, so being able to offer a quote upfront is wonderful. Everything HCIT is doing for our customers has been awesome. Don't ever change!</w:t>
      </w:r>
    </w:p>
    <w:p w14:paraId="36994FA1" w14:textId="77777777" w:rsidR="00E73445" w:rsidRDefault="00E73445" w:rsidP="00E73445">
      <w:pPr>
        <w:pStyle w:val="NormalWeb"/>
        <w:ind w:left="720"/>
      </w:pPr>
      <w:r>
        <w:rPr>
          <w:sz w:val="21"/>
          <w:szCs w:val="21"/>
        </w:rPr>
        <w:t>and from Jennifer Swenson at the Leavitt Group, Utah says, "Love the simplicity of your product"</w:t>
      </w:r>
    </w:p>
    <w:p w14:paraId="3290AA1B" w14:textId="77777777" w:rsidR="00E73445" w:rsidRDefault="00E73445" w:rsidP="00E73445">
      <w:pPr>
        <w:pStyle w:val="NormalWeb"/>
        <w:ind w:left="720"/>
      </w:pPr>
    </w:p>
    <w:p w14:paraId="72DAA6BF" w14:textId="77777777" w:rsidR="00E73445" w:rsidRDefault="00E73445" w:rsidP="00E73445">
      <w:pPr>
        <w:pStyle w:val="NormalWeb"/>
      </w:pPr>
      <w:r>
        <w:rPr>
          <w:rStyle w:val="Strong"/>
          <w:color w:val="2969B0"/>
          <w:sz w:val="21"/>
          <w:szCs w:val="21"/>
        </w:rPr>
        <w:t>PIA Member Benefits - Webinar Link:  </w:t>
      </w:r>
      <w:hyperlink r:id="rId11" w:history="1">
        <w:r>
          <w:rPr>
            <w:rStyle w:val="Hyperlink"/>
            <w:b/>
            <w:bCs/>
            <w:sz w:val="21"/>
            <w:szCs w:val="21"/>
          </w:rPr>
          <w:t>https://attendee.gotowebinar.com/rt/3966622754609398032</w:t>
        </w:r>
      </w:hyperlink>
    </w:p>
    <w:p w14:paraId="493BDE87" w14:textId="77777777" w:rsidR="00E73445" w:rsidRDefault="00E73445" w:rsidP="00E73445">
      <w:pPr>
        <w:pStyle w:val="NormalWeb"/>
      </w:pPr>
      <w:r>
        <w:rPr>
          <w:sz w:val="21"/>
          <w:szCs w:val="21"/>
        </w:rPr>
        <w:t xml:space="preserve">PIA is happy to announce the launch of a monthly webinar, </w:t>
      </w:r>
      <w:r>
        <w:rPr>
          <w:rStyle w:val="Strong"/>
          <w:sz w:val="21"/>
          <w:szCs w:val="21"/>
        </w:rPr>
        <w:t>PIA &amp; You: An Overview of PIA Member Benefits</w:t>
      </w:r>
      <w:r>
        <w:rPr>
          <w:sz w:val="21"/>
          <w:szCs w:val="21"/>
        </w:rPr>
        <w:t>. This webinar is perfect for new PIA members or those who need a refresher about their PIA member benefits. Membership prospects are also encouraged to attend this webinar to learn more about PIA.</w:t>
      </w:r>
    </w:p>
    <w:p w14:paraId="18D4C5AD" w14:textId="77777777" w:rsidR="00E73445" w:rsidRDefault="00E73445" w:rsidP="00E73445">
      <w:pPr>
        <w:pStyle w:val="NormalWeb"/>
      </w:pPr>
      <w:r>
        <w:rPr>
          <w:sz w:val="21"/>
          <w:szCs w:val="21"/>
        </w:rPr>
        <w:t>This high-level webinar will briefly go over PIA’s top member benefits that can help agencies succeed, grow, and save money. Attendees will learn about:</w:t>
      </w:r>
    </w:p>
    <w:p w14:paraId="35B02F27" w14:textId="77777777" w:rsidR="00E73445" w:rsidRDefault="00E73445" w:rsidP="00E73445">
      <w:pPr>
        <w:pStyle w:val="NormalWeb"/>
        <w:shd w:val="clear" w:color="auto" w:fill="FFFFFF"/>
        <w:tabs>
          <w:tab w:val="num" w:pos="720"/>
        </w:tabs>
        <w:spacing w:before="0" w:beforeAutospacing="0" w:after="60" w:afterAutospacing="0" w:line="360" w:lineRule="atLeast"/>
        <w:ind w:left="480" w:hanging="360"/>
        <w:jc w:val="both"/>
      </w:pPr>
      <w:r>
        <w:rPr>
          <w:sz w:val="21"/>
          <w:szCs w:val="21"/>
        </w:rPr>
        <w:lastRenderedPageBreak/>
        <w:t>Business-building tools</w:t>
      </w:r>
    </w:p>
    <w:p w14:paraId="430DB293" w14:textId="77777777" w:rsidR="00E73445" w:rsidRDefault="00E73445" w:rsidP="00E73445">
      <w:pPr>
        <w:pStyle w:val="NormalWeb"/>
        <w:shd w:val="clear" w:color="auto" w:fill="FFFFFF"/>
        <w:tabs>
          <w:tab w:val="num" w:pos="720"/>
        </w:tabs>
        <w:spacing w:before="0" w:beforeAutospacing="0" w:after="60" w:afterAutospacing="0" w:line="360" w:lineRule="atLeast"/>
        <w:ind w:left="480" w:hanging="360"/>
        <w:jc w:val="both"/>
      </w:pPr>
      <w:r>
        <w:rPr>
          <w:sz w:val="21"/>
          <w:szCs w:val="21"/>
        </w:rPr>
        <w:t>Insurance products</w:t>
      </w:r>
    </w:p>
    <w:p w14:paraId="7F888F36" w14:textId="77777777" w:rsidR="00E73445" w:rsidRDefault="00E73445" w:rsidP="00E73445">
      <w:pPr>
        <w:pStyle w:val="NormalWeb"/>
        <w:shd w:val="clear" w:color="auto" w:fill="FFFFFF"/>
        <w:tabs>
          <w:tab w:val="num" w:pos="720"/>
        </w:tabs>
        <w:spacing w:before="0" w:beforeAutospacing="0" w:after="60" w:afterAutospacing="0" w:line="360" w:lineRule="atLeast"/>
        <w:ind w:left="480" w:hanging="360"/>
        <w:jc w:val="both"/>
      </w:pPr>
      <w:r>
        <w:rPr>
          <w:sz w:val="21"/>
          <w:szCs w:val="21"/>
        </w:rPr>
        <w:t>Agency management tools</w:t>
      </w:r>
    </w:p>
    <w:p w14:paraId="34EAF458" w14:textId="77777777" w:rsidR="00E73445" w:rsidRDefault="00E73445" w:rsidP="00E73445">
      <w:pPr>
        <w:pStyle w:val="NormalWeb"/>
        <w:shd w:val="clear" w:color="auto" w:fill="FFFFFF"/>
        <w:tabs>
          <w:tab w:val="num" w:pos="720"/>
        </w:tabs>
        <w:spacing w:before="0" w:beforeAutospacing="0" w:after="60" w:afterAutospacing="0" w:line="360" w:lineRule="atLeast"/>
        <w:ind w:left="480" w:hanging="360"/>
      </w:pPr>
      <w:r>
        <w:rPr>
          <w:sz w:val="21"/>
          <w:szCs w:val="21"/>
        </w:rPr>
        <w:t>Tools from The PIA Partnership</w:t>
      </w:r>
    </w:p>
    <w:p w14:paraId="34AC92D6" w14:textId="77777777" w:rsidR="00E73445" w:rsidRDefault="00E73445" w:rsidP="00E73445">
      <w:pPr>
        <w:pStyle w:val="NormalWeb"/>
        <w:shd w:val="clear" w:color="auto" w:fill="FFFFFF"/>
        <w:spacing w:after="60" w:afterAutospacing="0" w:line="360" w:lineRule="atLeast"/>
      </w:pPr>
      <w:r>
        <w:rPr>
          <w:rStyle w:val="Emphasis"/>
          <w:sz w:val="21"/>
          <w:szCs w:val="21"/>
        </w:rPr>
        <w:t>The </w:t>
      </w:r>
      <w:r>
        <w:rPr>
          <w:sz w:val="21"/>
          <w:szCs w:val="21"/>
        </w:rPr>
        <w:t>PIA &amp; You: An Overview of PIA Member Benefits </w:t>
      </w:r>
      <w:r>
        <w:rPr>
          <w:rStyle w:val="Emphasis"/>
          <w:sz w:val="21"/>
          <w:szCs w:val="21"/>
        </w:rPr>
        <w:t xml:space="preserve">webinar is held on </w:t>
      </w:r>
      <w:r>
        <w:rPr>
          <w:rStyle w:val="Strong"/>
          <w:i/>
          <w:iCs/>
          <w:sz w:val="21"/>
          <w:szCs w:val="21"/>
        </w:rPr>
        <w:t>the fourth Friday</w:t>
      </w:r>
      <w:r>
        <w:rPr>
          <w:rStyle w:val="Emphasis"/>
          <w:sz w:val="21"/>
          <w:szCs w:val="21"/>
        </w:rPr>
        <w:t xml:space="preserve"> of the month at 2:00 PM ET. </w:t>
      </w:r>
    </w:p>
    <w:p w14:paraId="5B89DE6D" w14:textId="77777777" w:rsidR="00E73445" w:rsidRDefault="00E73445" w:rsidP="00E73445">
      <w:pPr>
        <w:pStyle w:val="NormalWeb"/>
        <w:shd w:val="clear" w:color="auto" w:fill="FFFFFF"/>
        <w:spacing w:after="60" w:afterAutospacing="0" w:line="360" w:lineRule="atLeast"/>
      </w:pPr>
      <w:r>
        <w:rPr>
          <w:rStyle w:val="Strong"/>
          <w:color w:val="2969B0"/>
          <w:sz w:val="21"/>
          <w:szCs w:val="21"/>
        </w:rPr>
        <w:t>Insurance Carrier News</w:t>
      </w:r>
    </w:p>
    <w:p w14:paraId="5326EEC3" w14:textId="77777777" w:rsidR="00E73445" w:rsidRDefault="00E73445" w:rsidP="00E73445">
      <w:pPr>
        <w:pStyle w:val="NormalWeb"/>
        <w:shd w:val="clear" w:color="auto" w:fill="FFFFFF"/>
        <w:spacing w:after="60" w:afterAutospacing="0" w:line="360" w:lineRule="atLeast"/>
      </w:pPr>
      <w:r>
        <w:rPr>
          <w:sz w:val="21"/>
          <w:szCs w:val="21"/>
        </w:rPr>
        <w:t>Am Trust is opening a claims office in Utah.  This is great news, and reflective of the growth happening in Utah. Press Release: </w:t>
      </w:r>
    </w:p>
    <w:p w14:paraId="17A28FA6" w14:textId="77777777" w:rsidR="00E73445" w:rsidRDefault="00E73445" w:rsidP="00E73445">
      <w:pPr>
        <w:pStyle w:val="NormalWeb"/>
      </w:pPr>
      <w:hyperlink r:id="rId12" w:history="1">
        <w:r>
          <w:rPr>
            <w:rStyle w:val="Hyperlink"/>
          </w:rPr>
          <w:t>https://business.utah.gov/news/amtrust-financial-planning-to-grow-its-operations-in-utah/</w:t>
        </w:r>
      </w:hyperlink>
    </w:p>
    <w:p w14:paraId="526DA0DB" w14:textId="77777777" w:rsidR="00E73445" w:rsidRDefault="00E73445" w:rsidP="00E73445">
      <w:pPr>
        <w:pStyle w:val="NormalWeb"/>
      </w:pPr>
      <w:hyperlink r:id="rId13" w:history="1">
        <w:r>
          <w:rPr>
            <w:rStyle w:val="Hyperlink"/>
          </w:rPr>
          <w:t>https://www.businesswire.com/news/home/20210812005741/en/AmTrust-Expands-Claims-Presence-in-Greater-Salt-Lake-City-Area</w:t>
        </w:r>
      </w:hyperlink>
    </w:p>
    <w:p w14:paraId="52C0CB52" w14:textId="77777777" w:rsidR="00E73445" w:rsidRDefault="00E73445" w:rsidP="00E73445">
      <w:pPr>
        <w:pStyle w:val="NormalWeb"/>
        <w:ind w:left="720"/>
      </w:pPr>
      <w:r>
        <w:rPr>
          <w:rStyle w:val="Strong"/>
        </w:rPr>
        <w:t> </w:t>
      </w:r>
    </w:p>
    <w:p w14:paraId="4944F9DB" w14:textId="77777777" w:rsidR="00E73445" w:rsidRDefault="00E73445" w:rsidP="00E73445">
      <w:pPr>
        <w:pStyle w:val="NormalWeb"/>
        <w:jc w:val="center"/>
      </w:pPr>
      <w:r>
        <w:rPr>
          <w:rStyle w:val="Strong"/>
          <w:color w:val="2969B0"/>
          <w:sz w:val="27"/>
          <w:szCs w:val="27"/>
        </w:rPr>
        <w:t xml:space="preserve">Visit </w:t>
      </w:r>
      <w:hyperlink r:id="rId14" w:history="1">
        <w:r>
          <w:rPr>
            <w:rStyle w:val="Hyperlink"/>
            <w:b/>
            <w:bCs/>
            <w:sz w:val="27"/>
            <w:szCs w:val="27"/>
          </w:rPr>
          <w:t>Utahi</w:t>
        </w:r>
      </w:hyperlink>
      <w:hyperlink r:id="rId15" w:history="1">
        <w:r>
          <w:rPr>
            <w:rStyle w:val="Hyperlink"/>
            <w:b/>
            <w:bCs/>
            <w:sz w:val="27"/>
            <w:szCs w:val="27"/>
          </w:rPr>
          <w:t>a.org</w:t>
        </w:r>
      </w:hyperlink>
      <w:r>
        <w:rPr>
          <w:rStyle w:val="Strong"/>
          <w:color w:val="2969B0"/>
          <w:sz w:val="27"/>
          <w:szCs w:val="27"/>
        </w:rPr>
        <w:t xml:space="preserve"> for more information. </w:t>
      </w:r>
    </w:p>
    <w:p w14:paraId="76322411" w14:textId="77777777" w:rsidR="00E73445" w:rsidRDefault="00E73445" w:rsidP="00E73445">
      <w:pPr>
        <w:pStyle w:val="NormalWeb"/>
        <w:jc w:val="center"/>
      </w:pPr>
      <w:r>
        <w:rPr>
          <w:rStyle w:val="Strong"/>
          <w:color w:val="2969B0"/>
          <w:sz w:val="27"/>
          <w:szCs w:val="27"/>
        </w:rPr>
        <w:t xml:space="preserve">You can also contact our office at (801)269-1200 or via e-mail </w:t>
      </w:r>
      <w:hyperlink r:id="rId16" w:history="1">
        <w:r>
          <w:rPr>
            <w:rStyle w:val="Hyperlink"/>
            <w:sz w:val="27"/>
            <w:szCs w:val="27"/>
          </w:rPr>
          <w:t>mattchild@Utahia.org</w:t>
        </w:r>
      </w:hyperlink>
    </w:p>
    <w:p w14:paraId="7C9E9463" w14:textId="77777777" w:rsidR="00E73445" w:rsidRDefault="00E73445" w:rsidP="00E73445">
      <w:pPr>
        <w:rPr>
          <w:rFonts w:eastAsia="Times New Roman"/>
        </w:rPr>
      </w:pPr>
      <w:r>
        <w:rPr>
          <w:rFonts w:eastAsia="Times New Roman"/>
        </w:rPr>
        <w:t>This email was sent on behalf of Utah Independent Agents located at 4885 South 900 East Suite 302, Salt Lake City, UT 84117. </w:t>
      </w:r>
      <w:hyperlink r:id="rId17" w:history="1">
        <w:r>
          <w:rPr>
            <w:rStyle w:val="Hyperlink"/>
            <w:rFonts w:eastAsia="Times New Roman"/>
          </w:rPr>
          <w:t>To unsubscribe click here.</w:t>
        </w:r>
      </w:hyperlink>
      <w:r>
        <w:rPr>
          <w:rFonts w:eastAsia="Times New Roman"/>
        </w:rPr>
        <w:t xml:space="preserve"> If you have questions or comments concerning this email contact Utah Independent </w:t>
      </w:r>
      <w:proofErr w:type="gramStart"/>
      <w:r>
        <w:rPr>
          <w:rFonts w:eastAsia="Times New Roman"/>
        </w:rPr>
        <w:t>Agents .</w:t>
      </w:r>
      <w:proofErr w:type="gramEnd"/>
    </w:p>
    <w:p w14:paraId="161FB9DA" w14:textId="77777777" w:rsidR="00E73445" w:rsidRDefault="00E73445"/>
    <w:sectPr w:rsidR="00E734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8110A"/>
    <w:multiLevelType w:val="multilevel"/>
    <w:tmpl w:val="D5CED6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445"/>
    <w:rsid w:val="00E7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9AD42"/>
  <w15:chartTrackingRefBased/>
  <w15:docId w15:val="{51FC215C-B26A-4B68-9F2C-101FA4A3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445"/>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E7344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73445"/>
    <w:rPr>
      <w:rFonts w:ascii="Calibri" w:hAnsi="Calibri" w:cs="Calibri"/>
      <w:b/>
      <w:bCs/>
      <w:sz w:val="36"/>
      <w:szCs w:val="36"/>
    </w:rPr>
  </w:style>
  <w:style w:type="character" w:styleId="Hyperlink">
    <w:name w:val="Hyperlink"/>
    <w:basedOn w:val="DefaultParagraphFont"/>
    <w:uiPriority w:val="99"/>
    <w:semiHidden/>
    <w:unhideWhenUsed/>
    <w:rsid w:val="00E73445"/>
    <w:rPr>
      <w:color w:val="0000FF"/>
      <w:u w:val="single"/>
    </w:rPr>
  </w:style>
  <w:style w:type="paragraph" w:styleId="NormalWeb">
    <w:name w:val="Normal (Web)"/>
    <w:basedOn w:val="Normal"/>
    <w:uiPriority w:val="99"/>
    <w:semiHidden/>
    <w:unhideWhenUsed/>
    <w:rsid w:val="00E73445"/>
    <w:pPr>
      <w:spacing w:before="100" w:beforeAutospacing="1" w:after="100" w:afterAutospacing="1"/>
    </w:pPr>
  </w:style>
  <w:style w:type="character" w:styleId="Strong">
    <w:name w:val="Strong"/>
    <w:basedOn w:val="DefaultParagraphFont"/>
    <w:uiPriority w:val="22"/>
    <w:qFormat/>
    <w:rsid w:val="00E73445"/>
    <w:rPr>
      <w:b/>
      <w:bCs/>
    </w:rPr>
  </w:style>
  <w:style w:type="character" w:styleId="Emphasis">
    <w:name w:val="Emphasis"/>
    <w:basedOn w:val="DefaultParagraphFont"/>
    <w:uiPriority w:val="20"/>
    <w:qFormat/>
    <w:rsid w:val="00E734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25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iia.growthzoneapp.com/ap/r/7378d082057341d8820c6ead8d1a7e19" TargetMode="External"/><Relationship Id="rId13" Type="http://schemas.openxmlformats.org/officeDocument/2006/relationships/hyperlink" Target="https://uaiia.growthzoneapp.com/ap/r/563eac24a427492aac3eac05934c5fc3"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uaiia.growthzoneapp.com/ap/r/bc38f8f8b5f345fd9675454a1e20bcfd" TargetMode="External"/><Relationship Id="rId12" Type="http://schemas.openxmlformats.org/officeDocument/2006/relationships/hyperlink" Target="https://uaiia.growthzoneapp.com/ap/r/6e4fec1b7be64853bce0daeeb2f5570f" TargetMode="External"/><Relationship Id="rId17" Type="http://schemas.openxmlformats.org/officeDocument/2006/relationships/hyperlink" Target="https://uaiia.growthzoneapp.com/ap/r/8bbfb2b8b836475f8228a4f4936fd86f" TargetMode="External"/><Relationship Id="rId2" Type="http://schemas.openxmlformats.org/officeDocument/2006/relationships/styles" Target="styles.xml"/><Relationship Id="rId16" Type="http://schemas.openxmlformats.org/officeDocument/2006/relationships/hyperlink" Target="mailto:mattchild@Utahia.org"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uaiia.growthzoneapp.com/ap/r/bc38f8f8b5f345fd9675454a1e20bcfd" TargetMode="External"/><Relationship Id="rId11" Type="http://schemas.openxmlformats.org/officeDocument/2006/relationships/hyperlink" Target="https://uaiia.growthzoneapp.com/ap/r/c3625c62bdfc4ed695759ef58bba2d36" TargetMode="External"/><Relationship Id="rId5" Type="http://schemas.openxmlformats.org/officeDocument/2006/relationships/image" Target="media/image1.jpeg"/><Relationship Id="rId15" Type="http://schemas.openxmlformats.org/officeDocument/2006/relationships/hyperlink" Target="file://a.org" TargetMode="External"/><Relationship Id="rId10" Type="http://schemas.openxmlformats.org/officeDocument/2006/relationships/hyperlink" Target="https://uaiia.growthzoneapp.com/ap/r/7ec8dc555127456588a901b44461dbd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aiia.growthzoneapp.com/ap/r/6caceeacf3494a819eb94a995ca81d6c" TargetMode="External"/><Relationship Id="rId14" Type="http://schemas.openxmlformats.org/officeDocument/2006/relationships/hyperlink" Target="file://Utahis.org"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ADA298AB5B8349B8E00197FF338302" ma:contentTypeVersion="" ma:contentTypeDescription="Create a new document." ma:contentTypeScope="" ma:versionID="9ec65c825df4c22f0a967fd19fa640ad">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719E51-E5E5-4CD4-9780-9C274BB28DE1}"/>
</file>

<file path=customXml/itemProps2.xml><?xml version="1.0" encoding="utf-8"?>
<ds:datastoreItem xmlns:ds="http://schemas.openxmlformats.org/officeDocument/2006/customXml" ds:itemID="{B0036BDE-481F-4E0E-BA7D-FBFF6396830F}"/>
</file>

<file path=customXml/itemProps3.xml><?xml version="1.0" encoding="utf-8"?>
<ds:datastoreItem xmlns:ds="http://schemas.openxmlformats.org/officeDocument/2006/customXml" ds:itemID="{EB49E287-7096-41BB-AE86-DCDF3130B268}"/>
</file>

<file path=docProps/app.xml><?xml version="1.0" encoding="utf-8"?>
<Properties xmlns="http://schemas.openxmlformats.org/officeDocument/2006/extended-properties" xmlns:vt="http://schemas.openxmlformats.org/officeDocument/2006/docPropsVTypes">
  <Template>Normal</Template>
  <TotalTime>2</TotalTime>
  <Pages>4</Pages>
  <Words>1013</Words>
  <Characters>5778</Characters>
  <Application>Microsoft Office Word</Application>
  <DocSecurity>0</DocSecurity>
  <Lines>48</Lines>
  <Paragraphs>13</Paragraphs>
  <ScaleCrop>false</ScaleCrop>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Kalmar</dc:creator>
  <cp:keywords/>
  <dc:description/>
  <cp:lastModifiedBy>Joyce Kalmar</cp:lastModifiedBy>
  <cp:revision>1</cp:revision>
  <dcterms:created xsi:type="dcterms:W3CDTF">2021-09-07T16:19:00Z</dcterms:created>
  <dcterms:modified xsi:type="dcterms:W3CDTF">2021-09-07T16:21:00Z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0x0101009BADA298AB5B8349B8E00197FF338302</vt:lpwstr>
  </property>
</Properties>
</file>